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rPr>
          <w:rFonts w:hint="eastAsia" w:ascii="黑体" w:hAnsi="Courier New" w:eastAsia="黑体" w:cs="黑体"/>
          <w:sz w:val="32"/>
          <w:szCs w:val="32"/>
          <w:lang w:val="en-US"/>
        </w:rPr>
      </w:pPr>
    </w:p>
    <w:p>
      <w:pPr>
        <w:pStyle w:val="2"/>
        <w:widowControl/>
        <w:rPr>
          <w:rFonts w:hint="eastAsia" w:ascii="黑体" w:hAnsi="Courier New" w:eastAsia="黑体" w:cs="黑体"/>
          <w:sz w:val="32"/>
          <w:szCs w:val="32"/>
          <w:shd w:val="clear" w:fill="FFFFFF"/>
          <w:lang w:val="en-US"/>
        </w:rPr>
      </w:pPr>
    </w:p>
    <w:p>
      <w:pPr>
        <w:pStyle w:val="2"/>
        <w:widowControl/>
        <w:rPr>
          <w:rFonts w:hint="eastAsia" w:ascii="黑体" w:hAnsi="Courier New" w:eastAsia="黑体" w:cs="黑体"/>
          <w:sz w:val="32"/>
          <w:szCs w:val="32"/>
          <w:lang w:val="en-US"/>
        </w:rPr>
      </w:pPr>
    </w:p>
    <w:p>
      <w:pPr>
        <w:pStyle w:val="2"/>
        <w:widowControl/>
        <w:jc w:val="center"/>
        <w:rPr>
          <w:sz w:val="18"/>
          <w:szCs w:val="18"/>
          <w:lang w:val="en-US"/>
        </w:rPr>
      </w:pPr>
    </w:p>
    <w:p>
      <w:pPr>
        <w:pStyle w:val="2"/>
        <w:widowControl/>
        <w:jc w:val="center"/>
        <w:rPr>
          <w:rFonts w:hint="eastAsia" w:ascii="仿宋_GB2312" w:hAnsi="宋体" w:eastAsia="仿宋_GB2312" w:cs="仿宋_GB2312"/>
          <w:color w:val="FF0000"/>
          <w:spacing w:val="8"/>
          <w:kern w:val="0"/>
          <w:sz w:val="32"/>
          <w:szCs w:val="32"/>
          <w:lang w:val="en-US"/>
        </w:rPr>
      </w:pPr>
      <w:r>
        <w:rPr>
          <w:rFonts w:hint="eastAsia" w:ascii="方正小标宋简体" w:hAnsi="宋体" w:eastAsia="方正小标宋简体" w:cs="方正小标宋简体"/>
          <w:color w:val="FF0000"/>
          <w:spacing w:val="8"/>
          <w:kern w:val="0"/>
          <w:sz w:val="84"/>
          <w:szCs w:val="84"/>
          <w:lang w:eastAsia="zh-CN"/>
        </w:rPr>
        <w:t>西北农林科技大学文件</w:t>
      </w:r>
    </w:p>
    <w:p>
      <w:pPr>
        <w:pStyle w:val="2"/>
        <w:widowControl/>
        <w:jc w:val="center"/>
        <w:rPr>
          <w:rFonts w:hint="eastAsia" w:ascii="仿宋_GB2312" w:hAnsi="宋体" w:eastAsia="仿宋_GB2312" w:cs="仿宋_GB2312"/>
          <w:bCs/>
          <w:color w:val="FF0000"/>
          <w:w w:val="74"/>
          <w:kern w:val="0"/>
          <w:sz w:val="32"/>
          <w:szCs w:val="32"/>
          <w:lang w:val="en-US"/>
        </w:rPr>
      </w:pPr>
    </w:p>
    <w:p>
      <w:pPr>
        <w:pStyle w:val="2"/>
        <w:widowControl/>
        <w:shd w:val="clear" w:fill="FFFFFF"/>
        <w:spacing w:line="360" w:lineRule="auto"/>
        <w:ind w:left="0" w:firstLine="320" w:firstLineChars="100"/>
        <w:jc w:val="center"/>
        <w:rPr>
          <w:rFonts w:hint="eastAsia" w:ascii="仿宋_GB2312" w:eastAsia="仿宋_GB2312" w:cs="仿宋_GB2312"/>
          <w:sz w:val="32"/>
          <w:szCs w:val="21"/>
          <w:shd w:val="clear" w:fill="FFFFFF"/>
          <w:lang w:val="en-US"/>
        </w:rPr>
      </w:pPr>
      <w:r>
        <w:rPr>
          <w:rFonts w:hint="eastAsia" w:ascii="仿宋_GB2312" w:eastAsia="仿宋_GB2312" w:cs="仿宋_GB2312"/>
          <w:sz w:val="32"/>
          <w:szCs w:val="21"/>
          <w:shd w:val="clear" w:fill="FFFFFF"/>
          <w:lang w:eastAsia="zh-CN"/>
        </w:rPr>
        <w:t>校办发〔</w:t>
      </w:r>
      <w:r>
        <w:rPr>
          <w:rFonts w:hint="eastAsia" w:ascii="仿宋_GB2312" w:eastAsia="仿宋_GB2312" w:cs="仿宋_GB2312"/>
          <w:sz w:val="32"/>
          <w:szCs w:val="21"/>
          <w:shd w:val="clear" w:fill="FFFFFF"/>
          <w:lang w:val="en-US"/>
        </w:rPr>
        <w:t>2017</w:t>
      </w:r>
      <w:r>
        <w:rPr>
          <w:rFonts w:hint="eastAsia" w:ascii="仿宋_GB2312" w:eastAsia="仿宋_GB2312" w:cs="仿宋_GB2312"/>
          <w:sz w:val="32"/>
          <w:szCs w:val="21"/>
          <w:shd w:val="clear" w:fill="FFFFFF"/>
          <w:lang w:eastAsia="zh-CN"/>
        </w:rPr>
        <w:t>〕</w:t>
      </w:r>
      <w:r>
        <w:rPr>
          <w:rFonts w:hint="eastAsia" w:ascii="仿宋_GB2312" w:eastAsia="仿宋_GB2312" w:cs="仿宋_GB2312"/>
          <w:sz w:val="32"/>
          <w:szCs w:val="21"/>
          <w:shd w:val="clear" w:fill="FFFFFF"/>
          <w:lang w:val="en-US"/>
        </w:rPr>
        <w:t>471</w:t>
      </w:r>
      <w:r>
        <w:rPr>
          <w:rFonts w:hint="eastAsia" w:ascii="仿宋_GB2312" w:eastAsia="仿宋_GB2312" w:cs="仿宋_GB2312"/>
          <w:sz w:val="32"/>
          <w:szCs w:val="21"/>
          <w:shd w:val="clear" w:fill="FFFFFF"/>
          <w:lang w:eastAsia="zh-CN"/>
        </w:rPr>
        <w:t>号</w:t>
      </w:r>
      <w:r>
        <w:rPr>
          <w:rFonts w:hint="eastAsia" w:ascii="仿宋_GB2312" w:eastAsia="仿宋_GB2312" w:cs="仿宋_GB2312"/>
          <w:sz w:val="32"/>
          <w:szCs w:val="21"/>
          <w:shd w:val="clear" w:fill="FFFFFF"/>
          <w:lang w:val="en-US"/>
        </w:rPr>
        <w:t xml:space="preserve">         </w:t>
      </w:r>
      <w:r>
        <w:rPr>
          <w:rFonts w:hint="eastAsia" w:ascii="仿宋_GB2312" w:eastAsia="仿宋_GB2312" w:cs="仿宋_GB2312"/>
          <w:sz w:val="44"/>
          <w:szCs w:val="44"/>
          <w:shd w:val="clear" w:fill="FFFFFF"/>
          <w:lang w:val="en-US"/>
        </w:rPr>
        <w:t xml:space="preserve"> </w:t>
      </w:r>
      <w:r>
        <w:rPr>
          <w:rFonts w:hint="eastAsia" w:ascii="仿宋_GB2312" w:eastAsia="仿宋_GB2312" w:cs="仿宋_GB2312"/>
          <w:sz w:val="32"/>
          <w:szCs w:val="21"/>
          <w:shd w:val="clear" w:fill="FFFFFF"/>
          <w:lang w:val="en-US"/>
        </w:rPr>
        <w:t xml:space="preserve">        </w:t>
      </w:r>
    </w:p>
    <w:p>
      <w:pPr>
        <w:pStyle w:val="2"/>
        <w:widowControl/>
        <w:shd w:val="clear" w:fill="FFFFFF"/>
        <w:jc w:val="center"/>
        <w:rPr>
          <w:rFonts w:hint="eastAsia" w:ascii="仿宋_GB2312" w:hAnsi="宋体" w:eastAsia="仿宋_GB2312" w:cs="仿宋_GB2312"/>
          <w:bCs/>
          <w:color w:val="FF0000"/>
          <w:w w:val="74"/>
          <w:kern w:val="0"/>
          <w:sz w:val="32"/>
          <w:szCs w:val="32"/>
          <w:shd w:val="clear" w:fill="FFFFFF"/>
          <w:lang w:val="en-US"/>
        </w:rPr>
      </w:pPr>
      <w:r>
        <w:rPr>
          <w:shd w:val="clear" w:fill="FFFFFF"/>
          <w:lang w:eastAsia="zh-CN"/>
        </w:rPr>
        <mc:AlternateContent>
          <mc:Choice Requires="wps">
            <w:drawing>
              <wp:anchor distT="0" distB="0" distL="114300" distR="114300" simplePos="0" relativeHeight="249561088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23495</wp:posOffset>
                </wp:positionV>
                <wp:extent cx="5654040" cy="381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654040" cy="381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-4.9pt;margin-top:1.85pt;height:0.3pt;width:445.2pt;z-index:249561088;mso-width-relative:page;mso-height-relative:page;" stroked="t" coordsize="21600,21600" o:gfxdata="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G7wj6tYAAAAGAQAADwAAAAAAAAAB&#10;ACAAAAAiAAAAZHJzL2Rvd25yZXYueG1sUEsBAhQAFAAAAAgAh07iQKKKLUfZAQAAmwMAAA4AAAAA&#10;AAAAAQAgAAAAJQEAAGRycy9lMm9Eb2MueG1sUEsFBgAAAAAGAAYAWQEAAHAFAAAAAA==&#10;">
                <v:path arrowok="t"/>
                <v:fill focussize="0,0"/>
                <v:stroke weight="1pt" color="#FF0000"/>
                <v:imagedata o:title=""/>
                <o:lock v:ext="edit"/>
              </v:line>
            </w:pict>
          </mc:Fallback>
        </mc:AlternateContent>
      </w:r>
    </w:p>
    <w:p>
      <w:pPr>
        <w:pStyle w:val="2"/>
        <w:widowControl/>
        <w:shd w:val="clear" w:fill="FFFFFF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fill="FFFFFF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fill="FFFFFF"/>
          <w:lang w:eastAsia="zh-CN"/>
        </w:rPr>
        <w:t>关于印发《西北农林科技大学校园交通安全</w:t>
      </w:r>
    </w:p>
    <w:p>
      <w:pPr>
        <w:pStyle w:val="2"/>
        <w:widowControl/>
        <w:shd w:val="clear" w:fill="FFFFFF"/>
        <w:jc w:val="center"/>
        <w:rPr>
          <w:rFonts w:hint="eastAsia" w:ascii="仿宋_GB2312" w:eastAsia="仿宋_GB2312" w:cs="仿宋_GB2312"/>
          <w:sz w:val="32"/>
          <w:szCs w:val="32"/>
          <w:shd w:val="clear" w:fill="FFFFFF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fill="FFFFFF"/>
          <w:lang w:eastAsia="zh-CN"/>
        </w:rPr>
        <w:t>管理办法》的通知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仿宋_GB2312" w:eastAsia="仿宋_GB2312" w:cs="仿宋_GB2312"/>
          <w:color w:val="22222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color w:val="222222"/>
          <w:kern w:val="2"/>
          <w:sz w:val="32"/>
          <w:szCs w:val="32"/>
          <w:lang w:val="en-US" w:eastAsia="zh-CN" w:bidi="ar"/>
        </w:rPr>
        <w:t>各学院（系、部、所）、处（室）、直属（附属）单位：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27" w:firstLineChars="196"/>
        <w:jc w:val="both"/>
        <w:rPr>
          <w:rFonts w:hint="eastAsia" w:ascii="仿宋_GB2312" w:eastAsia="仿宋_GB2312" w:cs="仿宋_GB2312"/>
          <w:color w:val="22222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color w:val="222222"/>
          <w:kern w:val="2"/>
          <w:sz w:val="32"/>
          <w:szCs w:val="32"/>
          <w:lang w:val="en-US" w:eastAsia="zh-CN" w:bidi="ar"/>
        </w:rPr>
        <w:t>《西北农林科技大学校园交通安全管理办法》已经2017年12月1日党委常委会议审议通过，现予印发，请遵照执行。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947" w:firstLineChars="296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947" w:firstLineChars="296"/>
        <w:jc w:val="both"/>
        <w:rPr>
          <w:rFonts w:hint="eastAsia" w:ascii="仿宋_GB2312" w:eastAsia="仿宋_GB2312" w:cs="仿宋_GB2312"/>
          <w:color w:val="22222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Times New Roman" w:eastAsia="仿宋_GB2312" w:cs="仿宋_GB2312"/>
          <w:color w:val="222222"/>
          <w:kern w:val="2"/>
          <w:sz w:val="32"/>
          <w:szCs w:val="32"/>
          <w:lang w:val="en-US" w:eastAsia="zh-CN" w:bidi="ar"/>
        </w:rPr>
        <w:t>西北农林科技大学校园交通安全管理办法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27" w:firstLineChars="196"/>
        <w:jc w:val="both"/>
        <w:rPr>
          <w:rFonts w:hint="eastAsia" w:ascii="仿宋_GB2312" w:eastAsia="仿宋_GB2312" w:cs="仿宋_GB2312"/>
          <w:color w:val="222222"/>
          <w:sz w:val="32"/>
          <w:szCs w:val="32"/>
          <w:lang w:val="en-US"/>
        </w:rPr>
      </w:pPr>
    </w:p>
    <w:p>
      <w:pPr>
        <w:pStyle w:val="5"/>
        <w:widowControl/>
        <w:jc w:val="center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西北农林科技大学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_GB2312" w:eastAsia="仿宋_GB2312" w:cs="仿宋_GB2312"/>
          <w:color w:val="22222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color w:val="222222"/>
          <w:kern w:val="2"/>
          <w:sz w:val="32"/>
          <w:szCs w:val="32"/>
          <w:lang w:val="en-US" w:eastAsia="zh-CN" w:bidi="ar"/>
        </w:rPr>
        <w:t xml:space="preserve">           2017年12月28日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宋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宋体" w:eastAsia="方正小标宋简体" w:cs="方正小标宋简体"/>
          <w:kern w:val="2"/>
          <w:sz w:val="44"/>
          <w:szCs w:val="44"/>
          <w:lang w:val="en-US" w:eastAsia="zh-CN" w:bidi="ar"/>
        </w:rPr>
        <w:t>西北农林科技大学校园交通安全管理办法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第一章  总  则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第一条  为了维护良好的校园交通秩序，保障道路交通安全，根据《中华人民共和国道路交通安全法》、《中华人民共和国道路交通安全法实施条例》、《陕西省实施&lt;中华人民共和国道路交通安全法&gt;办法》，结合学校实际，制定本办法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第二条  凡在校园内行驶的机动车辆、非机动车辆及其驾驶人员和行人，均属本办法管理范围。校内各单位、全体师生员工、计划外用工人员、来校公务的校外单位及其他人员均应遵守本办法。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第三条  校园道路交通安全管理，遵循以人为本、依法管理的原则，保障道路交通安全畅通。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第四条  保卫处负责学校的交通安全管理工作以及本办法的实施。全体师生员工有权对违反道路交通安全管理的行为进行劝阻、举报。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第二章  道路交通管理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第五条  未经保卫处批准，任何单位和个人不得擅自封闭、占用校园道路或从事其他影响正常交通的行为。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第六条  未经保卫处批准，任何单位和个人不得擅自设置、移动或损坏交通设施和警示标识。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第七条  未经保卫处批准，不得在道路上悬挂、设置影响交通视线的广告、宣传物品，不准在路面上涂画交通标识以外的任何标记。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第八条  占路施工或道路破土施工，须经主管校领导同意后送保卫处备案，施工过程中须设立明显的安全警示标志和设置相应的安全设施，施工结束后应尽快恢复道路交通。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第九条  道路上的树木、电杆、电线或传媒线路、广告牌、标志牌等出现倾斜、折断或其它妨碍交通的情况，有关单位须及时排除险情。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第十条  已划分机动车道、非机动车道和人行道的道路，机动车、非机动车和行人应各行其道；没有划分机动车道、非机动车道、人行道的道路，遵循“行人和非机动车优先通行”的原则。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第十一条  校内举办大型活动、发生紧急状况或校园观光赏景人数较多时，保卫处可根据实际需要，采取临时交通管制措施。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第十二条  学校各大门车辆和行人的通行，在特殊部位、特殊时期，由保卫处实行特殊通行方案。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第三章  机动车管理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第十三条  学校通过智能门禁管理系统对汽车进行管理，未办理校园门禁系统手续的外来机动车辆，实行计时收费管理。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第十四条  摩托车、机动三轮车必须在保卫处备案登记，经审核合格后发放校园通行证方可通行。三证（驾驶证、行驶证及牌照）齐全者方可申请办理。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第十五条  大门口及停车场限速5公里/小时，校内限速20公里/小时。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第十六条  出租车原则上禁止进入校园，若遇老弱病残、孕妇、携载重物等特殊情况，需向门卫说明情况，经允许方可进入。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第十七条  公安、消防、救护、工程抢险、军车、邮政等特种车辆，相关单位应在保卫处办理登记备案。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第十八条  装载危险化学品（含易燃、易爆和有毒物品）车辆，禁止进入校园。超大、超重的货物运输及工程车辆，进入北校区的由北校区北门出入，进入南校区的由南校区北门出入。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第十九条  校内单位举办学术会议等大型活动，需外来车辆进入校园的，须提前三个工作日向保卫处申请，办理有关手续，并服从指挥，按规定行驶、停放，不得阻碍交通。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第二十条  严禁手续不全车辆、待报废车辆（包括摩托车、机动三轮车）进入校园。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第二十一条  驶入校园内的机动车，须遵守学校有关交通规定，听从保卫人员指挥，安全文明驾驶。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（一）沿路靠右行驶，主动避让行人和非机动车，严禁逆向行驶。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（二）严禁酒驾、毒驾。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（三）严禁在校内道路上进行机动车驾驶培训、试车、飙车等。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（四）校园内禁止鸣笛、夜间严禁开启远光灯；不得遮挡车辆号牌。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（五）驾驶时不得有使用手机、向车外抛掷物品等不安全行为。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（六）临时停车时须靠路右边停车，下车开门时注意避让过往行人、机动车和非机动车。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（七）校内骑行摩托车、机动三轮车在道路行驶时须佩戴安全头盔；严禁单手驾驶摩托车、机动三轮车；严禁戴耳机骑车；严禁不按规定的道路标识标线行驶。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第二十二条  所有机动车辆在校园内应按照停车指示标志停放。不得在禁停指示区域停放；在没有停车指示标志的区域停放车辆时应注意不得乱停乱放，不得占用消防通道，不得妨碍道路交通。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第二十三条  停放在校园内的车辆，驾驶员要做好安全防范工作，关好车门、车窗，锁好车辆，车内严禁存放贵重物品。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第二十四条  摩托车、机动三轮车禁止伪造、转借、涂改校园通行证。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第四章  非机动车管理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第二十五条  自行车进出校门时，须下车推行。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第二十六条  在校园内行驶的非机动车，须车况良好，遵守各项交通标识，安全文明骑行。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（一）须沿路靠右行驶，谨慎慢行，主动避让行人。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（二）转弯时要提前减速，观察周边情况安全通过。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（三）不得有横穿猛拐、双手离把、戴耳机骑车、横排并行、互相追逐等其他危险行为。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第二十七条  非机动车须有序停放在存车处或指定地点，不准乱停乱放，禁止占道阻碍交通；禁止在学生公寓、办公楼、教学楼内停放，禁止占用消防通道。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第五章  行人管理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第二十八条  行人应走人行道。不得在道路上随意穿行，并注意过往车辆。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第二十九条  道路上不得使用轮滑、滑板、未经许可的代步工具或有打球、玩闹及其他影响交通的不安全行为。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第三十条  学龄前儿童在校园内行走，须由家长带领或看管。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第六章  校内单位管理分工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第三十一条  学校各单位应切实履行交通安全管理责任，积极配合保卫部门的工作，贯彻落实校园交通管理工作的各项措施，做好交通安全宣传和教育工作，不断提高师生员工自觉遵守交通法规的意识。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第三十二条  配备公车的单位，应建立健全车辆安全管理制度，加强对驾驶人的交通法规教育，确保车辆安全出行。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第三十三条  各单位组织集体外出活动，应安排专人负责交通安全工作，避免发生事故；需租用社会车辆时，必须租用具有相关专业营运资质的公司车辆。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第七章  违章处罚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第三十四条  超速处理。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（一）车辆超速次数按年度计算。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color w:val="FF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二）校内师生车辆超速的，第一次通过手机短信提示告知；第二次在全校范围内通报车主信息及测速结果；第三次车辆信息从智能门禁系统中删除，实行计时收费通行，一年后方可重新申请加入智能门禁管理系统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（三）系统内校外车辆超速的，第一次批评教育；第二次车辆信息从智能门禁系统中删除，实行计时收费通行。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（四）非系统内车辆超速的，给予罚款处置。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（五）摩托车、机动三轮车超速的，第一次批评教育，第二次吊销车辆通行证，一年后方可重新办理车辆通行证。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第三十五条  违停处理。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（一）车辆违停次数按年度计算。进入校园的车辆必须在停车场或停车位有序停放。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（二）校内师生车辆乱停乱放者，第一次贴违停告知书；第二次在全校范围内通报车主信息；第三次予以锁车，并给予罚款处理。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（三）系统内校外车辆乱停乱放者，第一次贴违停告知书；第二次予以锁车，并给予罚款处理。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（四）非系统内车辆乱停乱放者给予罚款处理。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（五）摩托车、机动三轮车、电动车应停放在摩托车停车位。凡乱停乱放者，第一次贴违停告知单；第二次违停吊销车辆通行证，一年后方可重新办理车辆通行证。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（六）车辆乱停乱放屡教不改或情节严重者，保卫处报交警部门拖车处置。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第三十六条  学校在学生公寓区实行机动车辆限行管理，除规定的特殊车辆外，严禁其它车辆进入。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第三十七条  车辆在校内行驶造成交通设施或公用设施（含树木花卉）毁坏的，按市场价格进行赔偿和修复，具体由保卫处或后勤管理处实施，产生的费用由车主承担。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第三十八条  对违反国家或学校有关机动车辆交通管理规定的公务车、特种设备车辆，一律通报所在单位，由所在单位对驾驶员进行批评教育处理。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第三十九条 对校内存在的其他交通违法、违规驾驶行为，保卫处将配合公安交警部门依法处理。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第四十条  对无理取闹，故意扰乱校园交通秩序的司乘人员或车辆，保卫处将配合公安机关按照《治安管理处罚法》进行处理。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第八章  交通事故处理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第四十一条  在校园内发生交通事故，车辆驾驶（骑乘）人应当立即停车，及时处理善后，并保护现场。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第四十二条  仅造成轻微财产损失，未造成严重后果的交通事故，基本事实清楚，当事人对事故责任无争议的，可按《中华人民共和国道路交通安全法》的有关规定双方协商处理，即行撤离现场，恢复交通；如当事人对事故责任有争议，应迅速向公安交警部门和保卫处报警，在原地等候处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第四十三条  造成严重后果的交通事故，应立即进行救助，并迅速向公安交警部门、保卫处和急救中心报警。因抢救受伤人员而变动现场的，应标明原始位置。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第九章  附 则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第四十四条  本办法发布实施后，原相关的交通管理规定同时废止。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第四十五条  本办法自2018年5月1日起施行，由保卫处负责解释。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sz w:val="32"/>
          <w:szCs w:val="32"/>
          <w:shd w:val="clear" w:fill="FFFFFF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_GB2312" w:eastAsia="仿宋_GB2312" w:cs="仿宋_GB2312"/>
          <w:sz w:val="28"/>
          <w:szCs w:val="28"/>
          <w:shd w:val="clear" w:fill="FFFFFF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0609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5621020" cy="6985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1020" cy="698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2.75pt;height:0.55pt;width:442.6pt;z-index:250609664;mso-width-relative:page;mso-height-relative:page;" coordsize="21600,21600" o:gfxdata="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YTZehNUAAAAEAQAADwAAAAAAAAABACAAAAAiAAAAZHJz&#10;L2Rvd25yZXYueG1sUEsBAhQAFAAAAAgAh07iQDV8Nb3OAQAAkQMAAA4AAAAAAAAAAQAgAAAAJAEA&#10;AGRycy9lMm9Eb2MueG1sUEsFBgAAAAAGAAYAWQEAAGQFAAAAAA==&#10;">
                <v:path arrowok="t"/>
                <v:fill focussize="0,0"/>
                <v:stroke weight="1pt"/>
                <v:imagedata o:title=""/>
                <o:lock v:ext="edit"/>
              </v:line>
            </w:pict>
          </mc:Fallback>
        </mc:AlternateConten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shd w:val="clear" w:fill="FFFFFF"/>
          <w:lang w:val="en-US" w:eastAsia="zh-CN" w:bidi="ar"/>
        </w:rPr>
        <w:t>抄送：校领导。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_GB2312" w:eastAsia="仿宋_GB2312" w:cs="仿宋_GB2312"/>
          <w:sz w:val="28"/>
          <w:szCs w:val="28"/>
          <w:shd w:val="clear" w:fill="FFFFFF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344170</wp:posOffset>
                </wp:positionV>
                <wp:extent cx="5652770" cy="7620"/>
                <wp:effectExtent l="0" t="0" r="0" b="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2770" cy="762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-1.65pt;margin-top:27.1pt;height:0.6pt;width:445.1pt;z-index:252706816;mso-width-relative:page;mso-height-relative:page;" coordsize="21600,21600" o:gfxdata="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Lp1wg9kAAAAIAQAADwAAAAAAAAABACAAAAAi&#10;AAAAZHJzL2Rvd25yZXYueG1sUEsBAhQAFAAAAAgAh07iQDW9KHrQAQAAkQMAAA4AAAAAAAAAAQAg&#10;AAAAKAEAAGRycy9lMm9Eb2MueG1sUEsFBgAAAAAGAAYAWQEAAGoFAAAAAA==&#10;">
                <v:path arrowok="t"/>
                <v:fill focussize="0,0"/>
                <v:stroke weight="1pt"/>
                <v:imagedata o:title=""/>
                <o:lock v:ext="edit"/>
              </v:line>
            </w:pict>
          </mc:Fallback>
        </mc:AlternateConten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22225</wp:posOffset>
                </wp:positionV>
                <wp:extent cx="5630545" cy="4445"/>
                <wp:effectExtent l="0" t="0" r="0" b="0"/>
                <wp:wrapNone/>
                <wp:docPr id="4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630545" cy="44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flip:y;margin-left:-0.75pt;margin-top:1.75pt;height:0.35pt;width:443.35pt;z-index:251658240;mso-width-relative:page;mso-height-relative:page;" coordsize="21600,21600" o:gfxdata="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MPqXu1AAAAAYBAAAPAAAAAAAAAAEAIAAAACIA&#10;AABkcnMvZG93bnJldi54bWxQSwECFAAUAAAACACHTuJA79ORfNQBAACaAwAADgAAAAAAAAABACAA&#10;AAAjAQAAZHJzL2Uyb0RvYy54bWxQSwUGAAAAAAYABgBZAQAAaQUAAAAA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 w:ascii="仿宋_GB2312" w:hAnsi="Times New Roman" w:eastAsia="仿宋_GB2312" w:cs="仿宋_GB2312"/>
          <w:kern w:val="2"/>
          <w:sz w:val="28"/>
          <w:szCs w:val="28"/>
          <w:shd w:val="clear" w:fill="FFFFFF"/>
          <w:lang w:val="en-US" w:eastAsia="zh-CN" w:bidi="ar"/>
        </w:rPr>
        <w:t xml:space="preserve">  西北农林科技大学校长办公室              2017年12月28日印发</w:t>
      </w:r>
    </w:p>
    <w:p/>
    <w:sectPr>
      <w:pgSz w:w="11906" w:h="16838"/>
      <w:pgMar w:top="2098" w:right="1474" w:bottom="1985" w:left="1588" w:header="851" w:footer="992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方正小标宋简体">
    <w:altName w:val="Arial Unicode MS"/>
    <w:panose1 w:val="00000000000000000000"/>
    <w:charset w:val="86"/>
    <w:family w:val="auto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方正小标宋简体">
    <w:altName w:val="宋体"/>
    <w:panose1 w:val="00000000000000000000"/>
    <w:charset w:val="86"/>
    <w:family w:val="auto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BB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6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Courier New"/>
      <w:kern w:val="2"/>
      <w:sz w:val="21"/>
      <w:szCs w:val="21"/>
      <w:lang w:val="en-US" w:eastAsia="zh-CN" w:bidi="ar"/>
    </w:rPr>
  </w:style>
  <w:style w:type="paragraph" w:customStyle="1" w:styleId="5">
    <w:name w:val="p0"/>
    <w:basedOn w:val="1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0"/>
      <w:sz w:val="21"/>
      <w:szCs w:val="21"/>
      <w:lang w:val="en-US" w:eastAsia="zh-CN" w:bidi="ar"/>
    </w:rPr>
  </w:style>
  <w:style w:type="character" w:customStyle="1" w:styleId="6">
    <w:name w:val="纯文本 Char"/>
    <w:basedOn w:val="3"/>
    <w:link w:val="2"/>
    <w:uiPriority w:val="0"/>
    <w:rPr>
      <w:rFonts w:hint="eastAsia" w:ascii="宋体" w:hAnsi="Courier New" w:eastAsia="宋体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玉峰</cp:lastModifiedBy>
  <dcterms:modified xsi:type="dcterms:W3CDTF">2018-03-14T00:42:53Z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