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Tencent Java 1.8.0_262 on Linux -->
    <w:p>
      <w:pPr>
        <w:snapToGrid w:val="false"/>
        <w:spacing w:before="0" w:after="0" w:line="240" w:lineRule="auto"/>
        <w:ind/>
        <w:jc w:val="center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>西北农林科技大学网络巡课记录单</w:t>
      </w:r>
    </w:p>
    <w:p>
      <w:pPr>
        <w:snapToGrid w:val="false"/>
        <w:spacing w:before="0" w:after="0" w:line="240" w:lineRule="auto"/>
        <w:ind/>
        <w:jc w:val="center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>（参考）</w:t>
      </w:r>
    </w:p>
    <w:p>
      <w:pPr>
        <w:snapToGrid w:val="false"/>
        <w:spacing w:before="0" w:after="0" w:line="240" w:lineRule="auto"/>
        <w:ind/>
        <w:jc w:val="center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</w:r>
    </w:p>
    <w:p>
      <w:pPr>
        <w:snapToGrid w:val="false"/>
        <w:spacing w:before="0" w:after="0" w:line="240" w:lineRule="auto"/>
        <w:ind/>
        <w:jc w:val="both"/>
        <w:rPr>
          <w:rFonts w:ascii="楷体_GB2312" w:hAnsi="楷体_GB2312" w:eastAsia="楷体_GB2312"/>
          <w:color w:val="000000"/>
          <w:sz w:val="28"/>
          <w:szCs w:val="28"/>
        </w:rPr>
      </w:pPr>
      <w:r>
        <w:rPr>
          <w:rFonts w:ascii="楷体_GB2312" w:hAnsi="楷体_GB2312" w:eastAsia="楷体_GB2312"/>
          <w:color w:val="000000"/>
          <w:sz w:val="28"/>
          <w:szCs w:val="28"/>
        </w:rPr>
        <w:t xml:space="preserve">讲课教师姓名：	     	教师所在学院：		课程名称：	 </w:t>
      </w:r>
    </w:p>
    <w:p>
      <w:pPr>
        <w:snapToGrid w:val="false"/>
        <w:spacing w:before="0" w:after="0" w:line="240" w:lineRule="auto"/>
        <w:ind/>
        <w:jc w:val="both"/>
        <w:rPr>
          <w:rFonts w:ascii="楷体_GB2312" w:hAnsi="楷体_GB2312" w:eastAsia="楷体_GB2312"/>
          <w:color w:val="000000"/>
          <w:sz w:val="28"/>
          <w:szCs w:val="28"/>
        </w:rPr>
      </w:pPr>
      <w:r>
        <w:rPr>
          <w:rFonts w:ascii="楷体_GB2312" w:hAnsi="楷体_GB2312" w:eastAsia="楷体_GB2312"/>
          <w:color w:val="000000"/>
          <w:sz w:val="28"/>
          <w:szCs w:val="28"/>
        </w:rPr>
        <w:t xml:space="preserve">上课方式（采用的平台或软件信息）：	</w:t>
      </w:r>
    </w:p>
    <w:p>
      <w:pPr>
        <w:snapToGrid w:val="false"/>
        <w:spacing w:before="0" w:after="0" w:line="240" w:lineRule="auto"/>
        <w:ind/>
        <w:jc w:val="both"/>
        <w:rPr>
          <w:rFonts w:ascii="楷体_GB2312" w:hAnsi="楷体_GB2312" w:eastAsia="楷体_GB2312"/>
          <w:color w:val="000000"/>
          <w:sz w:val="28"/>
          <w:szCs w:val="28"/>
        </w:rPr>
      </w:pPr>
      <w:r>
        <w:rPr>
          <w:rFonts w:ascii="楷体_GB2312" w:hAnsi="楷体_GB2312" w:eastAsia="楷体_GB2312"/>
          <w:color w:val="000000"/>
          <w:sz w:val="28"/>
          <w:szCs w:val="28"/>
        </w:rPr>
        <w:t>巡课时间	2022年3月   日           第  4 / 5  周，星期     ，第   节</w:t>
      </w:r>
    </w:p>
    <w:p>
      <w:pPr>
        <w:snapToGrid w:val="false"/>
        <w:spacing w:before="0" w:after="0" w:line="240" w:lineRule="auto"/>
        <w:ind/>
        <w:jc w:val="both"/>
        <w:rPr>
          <w:rFonts w:ascii="楷体_GB2312" w:hAnsi="楷体_GB2312" w:eastAsia="楷体_GB2312"/>
          <w:color w:val="000000"/>
          <w:sz w:val="28"/>
          <w:szCs w:val="28"/>
        </w:rPr>
      </w:pPr>
      <w:r>
        <w:rPr>
          <w:rFonts w:ascii="楷体_GB2312" w:hAnsi="楷体_GB2312" w:eastAsia="楷体_GB2312"/>
          <w:color w:val="000000"/>
          <w:sz w:val="28"/>
          <w:szCs w:val="28"/>
        </w:rPr>
        <w:t>巡课人姓名： 		联系电话：</w:t>
      </w:r>
    </w:p>
    <w:p>
      <w:pPr>
        <w:snapToGrid w:val="false"/>
        <w:spacing w:before="0" w:after="0" w:line="240" w:lineRule="auto"/>
        <w:ind/>
        <w:jc w:val="both"/>
        <w:rPr>
          <w:rFonts w:ascii="楷体_GB2312" w:hAnsi="楷体_GB2312" w:eastAsia="楷体_GB2312"/>
          <w:color w:val="000000"/>
          <w:sz w:val="28"/>
          <w:szCs w:val="28"/>
        </w:rPr>
      </w:pPr>
      <w:r>
        <w:rPr>
          <w:rFonts w:ascii="楷体_GB2312" w:hAnsi="楷体_GB2312" w:eastAsia="楷体_GB2312"/>
          <w:color w:val="000000"/>
          <w:sz w:val="28"/>
          <w:szCs w:val="28"/>
        </w:rPr>
        <w:t xml:space="preserve">□校、处级领导 □督导专家   □院（系）领导  □管理干部		</w:t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  <w:t>一、授课内容：</w:t>
      </w:r>
    </w:p>
    <w:p>
      <w:pPr>
        <w:snapToGrid w:val="false"/>
        <w:spacing w:before="0" w:after="0" w:line="240" w:lineRule="auto"/>
        <w:ind/>
        <w:jc w:val="both"/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                              </w:t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  <w:t>二、教师教学状态（包括教师网上授课的教案、教材、教具准备是否充分、教师上课精神状态等）：</w:t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  <w:t>三、网络平台情况（软件的使用是否正常，画面和声音同步情况，有群号或</w:t>
      </w:r>
      <w:r>
        <w:rPr>
          <w:rFonts w:ascii="Times New Roman" w:hAnsi="Times New Roman" w:eastAsia="Times New Roman"/>
          <w:color w:val="000000"/>
          <w:sz w:val="24"/>
          <w:szCs w:val="24"/>
        </w:rPr>
        <w:t>ID</w:t>
      </w:r>
      <w:r>
        <w:rPr>
          <w:rFonts w:ascii="宋体" w:hAnsi="宋体" w:eastAsia="宋体"/>
          <w:color w:val="000000"/>
          <w:sz w:val="24"/>
          <w:szCs w:val="24"/>
        </w:rPr>
        <w:t>请填写）：</w:t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  <w:t>四、课堂纪律及学生到课情况：</w:t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  <w:t>五、意见或建议：</w:t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/>
          <w:color w:val="000000"/>
          <w:sz w:val="24"/>
          <w:szCs w:val="24"/>
        </w:rPr>
        <w:t>听课人单位：</w:t>
      </w: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    </w:t>
      </w:r>
      <w:r>
        <w:rPr>
          <w:rFonts w:ascii="宋体" w:hAnsi="宋体" w:eastAsia="宋体"/>
          <w:color w:val="000000"/>
          <w:sz w:val="24"/>
          <w:szCs w:val="24"/>
        </w:rPr>
        <w:t>听课人（</w:t>
      </w: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sz w:val="24"/>
          <w:szCs w:val="24"/>
        </w:rPr>
        <w:t>签名）：</w:t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                                                      2022</w:t>
      </w:r>
      <w:r>
        <w:rPr>
          <w:rFonts w:ascii="宋体" w:hAnsi="宋体" w:eastAsia="宋体"/>
          <w:color w:val="000000"/>
          <w:sz w:val="24"/>
          <w:szCs w:val="24"/>
        </w:rPr>
        <w:t>年</w:t>
      </w:r>
      <w:r>
        <w:rPr>
          <w:rFonts w:ascii="Times New Roman" w:hAnsi="Times New Roman" w:eastAsia="Times New Roman"/>
          <w:color w:val="000000"/>
          <w:sz w:val="24"/>
          <w:szCs w:val="24"/>
        </w:rPr>
        <w:t>3</w:t>
      </w:r>
      <w:r>
        <w:rPr>
          <w:rFonts w:ascii="宋体" w:hAnsi="宋体" w:eastAsia="宋体"/>
          <w:color w:val="000000"/>
          <w:sz w:val="24"/>
          <w:szCs w:val="24"/>
        </w:rPr>
        <w:t>月</w:t>
      </w: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  </w:t>
      </w:r>
      <w:r>
        <w:rPr>
          <w:rFonts w:ascii="宋体" w:hAnsi="宋体" w:eastAsia="宋体"/>
          <w:color w:val="000000"/>
          <w:sz w:val="24"/>
          <w:szCs w:val="24"/>
        </w:rPr>
        <w:t>日</w:t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0"/>
          <w:szCs w:val="20"/>
        </w:rPr>
      </w:pPr>
      <w:r>
        <w:rPr>
          <w:rFonts w:ascii="宋体" w:hAnsi="宋体" w:eastAsia="宋体"/>
          <w:color w:val="000000"/>
          <w:sz w:val="20"/>
          <w:szCs w:val="20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0"/>
          <w:szCs w:val="20"/>
        </w:rPr>
      </w:pPr>
      <w:r>
        <w:rPr>
          <w:rFonts w:ascii="宋体" w:hAnsi="宋体" w:eastAsia="宋体"/>
          <w:color w:val="000000"/>
          <w:sz w:val="20"/>
          <w:szCs w:val="20"/>
        </w:rPr>
        <w:t>说明：</w:t>
      </w:r>
    </w:p>
    <w:p>
      <w:pPr>
        <w:numPr>
          <w:ilvl w:val="0"/>
          <w:numId w:val="33"/>
        </w:numPr>
        <w:snapToGrid w:val="false"/>
        <w:spacing w:before="0" w:after="0" w:line="240" w:lineRule="auto"/>
        <w:ind w:hanging="360"/>
        <w:jc w:val="both"/>
        <w:rPr>
          <w:rFonts w:ascii="宋体" w:hAnsi="宋体" w:eastAsia="宋体"/>
          <w:color w:val="000000"/>
          <w:sz w:val="20"/>
          <w:szCs w:val="20"/>
        </w:rPr>
      </w:pPr>
      <w:r>
        <w:rPr>
          <w:rFonts w:hint="eastAsia"/>
        </w:rPr>
      </w:r>
      <w:r>
        <w:rPr>
          <w:rFonts w:ascii="宋体" w:hAnsi="宋体" w:eastAsia="宋体"/>
          <w:color w:val="000000"/>
          <w:sz w:val="20"/>
          <w:szCs w:val="20"/>
        </w:rPr>
        <w:t>本表可以打印后填写，也可以电子稿方式填写。</w:t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0"/>
          <w:szCs w:val="20"/>
        </w:rPr>
      </w:pPr>
      <w:r>
        <w:rPr>
          <w:rFonts w:ascii="宋体" w:hAnsi="宋体" w:eastAsia="宋体"/>
          <w:color w:val="000000"/>
          <w:sz w:val="20"/>
          <w:szCs w:val="20"/>
        </w:rPr>
      </w:r>
    </w:p>
    <w:sectPr w:rsidR="00C604EC">
      <w:pgSz w:w="11906" w:h="16838"/>
      <w:pgMar w:top="1134" w:right="1247" w:bottom="1134" w:left="1247" w:header="851" w:footer="992" w:gutter="0"/>
      <w:cols w:space="425"/>
      <w:docGrid w:type="lines" w:linePitch="312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commentsExtended.xml><?xml version="1.0" encoding="utf-8"?>
<w15:commentsEx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hint="default" w:ascii="Wingdings" w:hAnsi="Wingdings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hint="default" w:ascii="Wingdings" w:hAnsi="Wingdings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hint="default" w:ascii="Wingdings" w:hAnsi="Wingdings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hint="default" w:ascii="Wingdings" w:hAnsi="Wingdings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hint="default" w:ascii="Wingdings" w:hAnsi="Wingdings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hint="default" w:ascii="Wingdings" w:hAnsi="Wingdings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hint="default" w:ascii="Wingdings" w:hAnsi="Wingdings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hint="default" w:ascii="Wingdings" w:hAnsi="Wingdings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hint="default" w:ascii="Wingdings" w:hAnsi="Wingdings"/>
      </w:rPr>
    </w:lvl>
  </w:abstractNum>
  <w:abstractNum w:abstractNumId="1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hint="default" w:ascii="Wingdings" w:hAnsi="Wingdings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hint="default" w:ascii="Wingdings" w:hAnsi="Wingdings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hint="default" w:ascii="Wingdings" w:hAnsi="Wingdings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hint="default" w:ascii="Wingdings" w:hAnsi="Wingdings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hint="default" w:ascii="Wingdings" w:hAnsi="Wingdings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hint="default" w:ascii="Wingdings" w:hAnsi="Wingdings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hint="default" w:ascii="Wingdings" w:hAnsi="Wingdings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hint="default" w:ascii="Wingdings" w:hAnsi="Wingdings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hint="default" w:ascii="Wingdings" w:hAnsi="Wingdings"/>
      </w:rPr>
    </w:lvl>
  </w:abstractNum>
  <w:abstractNum w:abstractNumId="2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hint="default" w:ascii="Wingdings" w:hAnsi="Wingdings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hint="default" w:ascii="Wingdings" w:hAnsi="Wingdings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hint="default" w:ascii="Wingdings" w:hAnsi="Wingdings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hint="default" w:ascii="Wingdings" w:hAnsi="Wingdings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hint="default" w:ascii="Wingdings" w:hAnsi="Wingdings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hint="default" w:ascii="Wingdings" w:hAnsi="Wingdings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hint="default" w:ascii="Wingdings" w:hAnsi="Wingdings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hint="default" w:ascii="Wingdings" w:hAnsi="Wingdings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hint="default" w:ascii="Wingdings" w:hAnsi="Wingdings"/>
      </w:rPr>
    </w:lvl>
  </w:abstractNum>
  <w:abstractNum w:abstractNumId="3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3">
    <w:multiLevelType w:val="multilevel"/>
    <w:lvl w:ilvl="0" w:tentative="false">
      <w:start w:val="1"/>
      <w:numFmt w:val="decimal"/>
      <w:lvlText w:val="%1.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false">
      <w:start w:val="1"/>
      <w:numFmt w:val="lowerLetter"/>
      <w:lvlText w:val="%2)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false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false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false">
      <w:start w:val="1"/>
      <w:numFmt w:val="lowerLetter"/>
      <w:lvlText w:val="%5)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false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false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false">
      <w:start w:val="1"/>
      <w:numFmt w:val="lowerLetter"/>
      <w:lvlText w:val="%8)"/>
      <w:lvlJc w:val="left"/>
      <w:pPr>
        <w:ind w:left="3360" w:hanging="420"/>
      </w:pPr>
      <w:rPr>
        <w:rFonts w:hint="default" w:ascii="宋体" w:hAnsi="宋体" w:eastAsia="宋体"/>
        <w:bCs/>
      </w:rPr>
    </w:lvl>
    <w:lvl w:ilvl="8" w:tentative="false">
      <w:start w:val="1"/>
      <w:numFmt w:val="lowerRoman"/>
      <w:lvlText w:val="%9."/>
      <w:lvlJc w:val="left"/>
      <w:pPr>
        <w:ind w:left="3780" w:hanging="420"/>
      </w:pPr>
      <w:rPr>
        <w:rFonts w:hint="default" w:ascii="宋体" w:hAnsi="宋体" w:eastAsia="宋体"/>
        <w:bCs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  <w:num w:numId="3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comments.xml" Type="http://schemas.openxmlformats.org/officeDocument/2006/relationships/comments" Id="rId9"/><Relationship Target="commentsExtended.xml" Type="http://schemas.microsoft.com/office/2011/relationships/commentsExtended" Id="rId10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